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…………</w:t>
      </w:r>
      <w:r>
        <w:rPr>
          <w:rFonts w:asciiTheme="minorHAnsi" w:hAnsiTheme="minorHAnsi" w:cstheme="minorHAnsi"/>
          <w:sz w:val="32"/>
          <w:szCs w:val="32"/>
          <w:lang w:val="nn-NO"/>
        </w:rPr>
        <w:t>Grunnkurs i matematikk I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FA78D8" w:rsidRPr="00726B2E" w:rsidRDefault="00FA78D8" w:rsidP="00FA78D8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</w:t>
      </w:r>
      <w:r w:rsidRPr="00FA78D8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nn-NO"/>
        </w:rPr>
        <w:t>Grunnkurs i matematikk I</w:t>
      </w:r>
      <w:r w:rsidRPr="00726B2E">
        <w:rPr>
          <w:rFonts w:asciiTheme="minorHAnsi" w:hAnsiTheme="minorHAnsi" w:cstheme="minorHAnsi"/>
          <w:sz w:val="32"/>
          <w:szCs w:val="32"/>
        </w:rPr>
        <w:t xml:space="preserve"> 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r w:rsidRPr="00726B2E">
        <w:rPr>
          <w:rFonts w:asciiTheme="minorHAnsi" w:hAnsiTheme="minorHAnsi" w:cstheme="minorHAnsi"/>
          <w:i/>
          <w:sz w:val="28"/>
          <w:szCs w:val="28"/>
        </w:rPr>
        <w:t>Navn på emnet, bokmål)</w:t>
      </w:r>
    </w:p>
    <w:p w:rsidR="00FA78D8" w:rsidRPr="00726B2E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</w:t>
      </w:r>
      <w:r>
        <w:rPr>
          <w:rFonts w:asciiTheme="minorHAnsi" w:hAnsiTheme="minorHAnsi" w:cstheme="minorHAnsi"/>
          <w:sz w:val="32"/>
          <w:szCs w:val="32"/>
        </w:rPr>
        <w:t>Calculus I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……….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course,  English)</w:t>
      </w: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FA78D8" w:rsidRPr="00A76CAD" w:rsidRDefault="00FA78D8" w:rsidP="00FA78D8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FA78D8" w:rsidRPr="00A76CAD" w:rsidRDefault="00FA78D8" w:rsidP="00FA78D8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FA78D8" w:rsidRPr="00A76CAD" w:rsidRDefault="00FA78D8" w:rsidP="00FA78D8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FA78D8" w:rsidRPr="00A76CAD" w:rsidRDefault="00FA78D8" w:rsidP="00FA78D8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FA78D8" w:rsidRPr="00A76CAD" w:rsidRDefault="00FA78D8" w:rsidP="00FA78D8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FA78D8" w:rsidRPr="00A76CAD" w:rsidRDefault="00FA78D8" w:rsidP="00FA78D8">
      <w:pPr>
        <w:rPr>
          <w:rFonts w:asciiTheme="minorHAnsi" w:hAnsiTheme="minorHAnsi" w:cstheme="minorHAnsi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FA78D8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FA78D8" w:rsidRPr="00E33BA5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A78D8" w:rsidRPr="00A76CAD" w:rsidRDefault="00FA78D8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FA78D8" w:rsidRPr="00A76CAD" w:rsidRDefault="00FA78D8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MAT111</w:t>
            </w:r>
          </w:p>
        </w:tc>
      </w:tr>
      <w:tr w:rsidR="00FA78D8" w:rsidRPr="00E33BA5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Grunnkurs i matematikk I</w:t>
            </w:r>
          </w:p>
        </w:tc>
      </w:tr>
      <w:tr w:rsidR="00FA78D8" w:rsidRPr="00E33BA5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A78D8" w:rsidRPr="00E33BA5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Calculus I</w:t>
            </w:r>
          </w:p>
        </w:tc>
      </w:tr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10</w:t>
            </w:r>
          </w:p>
        </w:tc>
      </w:tr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D90BE4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 (studiesyklus)</w:t>
            </w:r>
          </w:p>
          <w:p w:rsidR="00FA78D8" w:rsidRPr="00D90BE4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78D8" w:rsidRPr="00D90BE4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A78D8" w:rsidRPr="00D90BE4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78D8" w:rsidRPr="00D90BE4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996578" w:rsidRDefault="00102F43" w:rsidP="00102F43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i/>
                <w:lang w:val="nn-NO"/>
              </w:rPr>
              <w:t>Bachelor</w:t>
            </w:r>
          </w:p>
        </w:tc>
      </w:tr>
      <w:tr w:rsidR="00FA78D8" w:rsidRPr="0099657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FA78D8" w:rsidRPr="00B3115F" w:rsidTr="00FA78D8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635549" w:rsidRDefault="00FA78D8" w:rsidP="00102F43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FA78D8" w:rsidRPr="00A76CAD" w:rsidRDefault="00FA78D8" w:rsidP="00102F43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FA78D8" w:rsidRPr="00102F43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Semester of Instruction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Default="00102F43" w:rsidP="00081041">
            <w:pPr>
              <w:widowControl/>
              <w:spacing w:after="0"/>
              <w:rPr>
                <w:rFonts w:ascii="Verdana" w:hAnsi="Verdana" w:cs="Arial"/>
                <w:lang w:val="nn-NO"/>
              </w:rPr>
            </w:pPr>
            <w:r>
              <w:rPr>
                <w:rFonts w:ascii="Verdana" w:hAnsi="Verdana" w:cs="Arial"/>
                <w:lang w:val="nn-NO"/>
              </w:rPr>
              <w:t>Haust</w:t>
            </w:r>
            <w:r w:rsidRPr="00102F43">
              <w:rPr>
                <w:rFonts w:ascii="Verdana" w:hAnsi="Verdana" w:cs="Arial"/>
                <w:lang w:val="nn-NO"/>
              </w:rPr>
              <w:t>, Vår med redusert undervising og berekna på sjølvst</w:t>
            </w:r>
            <w:r>
              <w:rPr>
                <w:rFonts w:ascii="Verdana" w:hAnsi="Verdana" w:cs="Arial"/>
                <w:lang w:val="nn-NO"/>
              </w:rPr>
              <w:t>udium</w:t>
            </w:r>
            <w:r w:rsidRPr="00102F43">
              <w:rPr>
                <w:rFonts w:ascii="Verdana" w:hAnsi="Verdana" w:cs="Arial"/>
                <w:lang w:val="nn-NO"/>
              </w:rPr>
              <w:t>. Hovudundervisinga er i haustsemesteret, og undervisinga i vårsemesteret er berre eit supplement.</w:t>
            </w:r>
          </w:p>
          <w:p w:rsidR="00102F43" w:rsidRDefault="00102F43" w:rsidP="00081041">
            <w:pPr>
              <w:widowControl/>
              <w:spacing w:after="0"/>
              <w:rPr>
                <w:rFonts w:ascii="Verdana" w:hAnsi="Verdana" w:cs="Arial"/>
                <w:lang w:val="nn-NO"/>
              </w:rPr>
            </w:pPr>
          </w:p>
          <w:p w:rsidR="00102F43" w:rsidRPr="00102F43" w:rsidRDefault="00102F43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Autumn and spring. </w:t>
            </w: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41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 xml:space="preserve">Mål: 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Emnet har som mål å gje ein innføring i dei viktigaste omgrepa og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teknikkane innan kalkulus i matematikk, spesielt kontinuitet, derivasjon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og integrasjon, som trengs seinare i dei fleste studieretningane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innanfor realfag. Samstundes skal emnet formidle korleis faget logisk er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bygd opp og kvifor ein treng stringente prov og gje innblikk i korleis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ein nyttar matematikk til å skildre (modellar av) røyndomen.</w:t>
            </w:r>
          </w:p>
          <w:p w:rsidR="00FA78D8" w:rsidRDefault="00FA78D8" w:rsidP="00FA78D8">
            <w:pPr>
              <w:pStyle w:val="Rentekst"/>
              <w:rPr>
                <w:lang w:val="nn-NO"/>
              </w:rPr>
            </w:pPr>
          </w:p>
          <w:p w:rsidR="00FA78D8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 xml:space="preserve">Innhald: 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Emnet gjev ein innføring i grenseomgrepet, kontinuitet,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derivasjon og integrasjon av reelle funksjonar av ein variabel, samt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teori for reelle og komplekse tal, med nytte i teoretiske og anvende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problemstillingar. Sentrale tema er inverse funksjonar, logaritme- og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eksponensialfunksjonar, trigonometriske funksjonar, og Taylorpolynomer,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>
              <w:t xml:space="preserve">samt Taylor sin formel med restledd. </w:t>
            </w:r>
            <w:r w:rsidRPr="005D7047">
              <w:rPr>
                <w:lang w:val="nn-NO"/>
              </w:rPr>
              <w:t>Det vil verte gjeve ein gjennomgong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 xml:space="preserve">av implisitt derivasjon, fikspunktiterasjon og Newtons metode, utrekning 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av areal i planet og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volum av rotasjonsleikamar, numerisk integrasjon og av separable og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>lineære differensiallikningar av første orden.</w:t>
            </w:r>
          </w:p>
          <w:p w:rsidR="00FA78D8" w:rsidRPr="00102F43" w:rsidRDefault="00FA78D8" w:rsidP="00FA78D8">
            <w:pPr>
              <w:pStyle w:val="Rentekst"/>
              <w:rPr>
                <w:lang w:val="en-US"/>
              </w:rPr>
            </w:pP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Objectives: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The course aims at giving an introduction to the most important notions 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and techniques in mathematical calculus, especially continuity, 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differentiation and integration, which are needed later in most studies 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in mathematics and natural sciences. At the same time, the course shall 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convey how the subject is logically build up and why one needs strict 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proofs and give insight into how one uses mathematics to depict (models </w:t>
            </w:r>
          </w:p>
          <w:p w:rsidR="00FA78D8" w:rsidRPr="00102F43" w:rsidRDefault="00FA78D8" w:rsidP="00FA78D8">
            <w:pPr>
              <w:pStyle w:val="Rentekst"/>
              <w:rPr>
                <w:lang w:val="en-US"/>
              </w:rPr>
            </w:pPr>
            <w:r w:rsidRPr="00102F43">
              <w:rPr>
                <w:lang w:val="en-US"/>
              </w:rPr>
              <w:t>of) the real world.</w:t>
            </w:r>
          </w:p>
          <w:p w:rsidR="00FA78D8" w:rsidRPr="00102F43" w:rsidRDefault="00FA78D8" w:rsidP="00FA78D8">
            <w:pPr>
              <w:pStyle w:val="Rentekst"/>
              <w:rPr>
                <w:lang w:val="en-US"/>
              </w:rPr>
            </w:pP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</w:p>
          <w:p w:rsidR="00FA78D8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Contents: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lastRenderedPageBreak/>
              <w:t xml:space="preserve">The subject gives an introduction to the concept of limits,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continuity, differentiation and integration of real functions of one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real variable, as well as theory of real and complex numbers, with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applications to theoretical and practical problems. Central themes are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inverse functions, logarithmic and exponential functions, trigonometric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functions, Taylor polynomials and Taylor's formula with remainder.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Moreover, topics such as implicit differentiation, fixed point iteration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and Newton's method, computations of areas in the plane and volumes of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solids of revolution, numerical integration and separable and first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>order linear differential equations are included.</w:t>
            </w:r>
          </w:p>
          <w:p w:rsidR="00FA78D8" w:rsidRPr="00FA78D8" w:rsidRDefault="00FA78D8" w:rsidP="00754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8D8" w:rsidRPr="009314A3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(endret standardoppsett og introsetning)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A78D8" w:rsidRPr="00892FCB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* kan rekne med og nytte komplekse tal til å finne reelle og komplekse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røter av enkle likningar.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* kan prove utsegn ved hjelp av matematisk induksjon.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* kan gjengje og nytte dei matematiske definisjonane for grenseverdi,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kontinuitet og derivert, òg i teoretiske problem.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* kan gjengje nytte både den formelle definisjonen og andre metodar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 xml:space="preserve">som grensesetningane, klemteoremet og l´Hôpitals regel for å rekne ut 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grenseverdier.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* kan gjengje og nytte skjeringssetninga, ekstremalverdisetninga og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sekantsetninga, òg i teoretiske problem.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* kan nytte  regler for å derivere og finne antideriverte.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* kan drøfte funksjonar og teikna grafar.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* kan nytte  Taylor sin formel.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* kan nytte  integrasjonsmetoder som substitusjon, delvis integrasjon,</w:t>
            </w:r>
          </w:p>
          <w:p w:rsidR="009314A3" w:rsidRDefault="009314A3" w:rsidP="009314A3">
            <w:pPr>
              <w:pStyle w:val="Rentekst"/>
            </w:pPr>
            <w:r>
              <w:t xml:space="preserve">samt polynomdivisjon, delbrøkoppspalting og fullføring av kvadrat, for å </w:t>
            </w:r>
          </w:p>
          <w:p w:rsidR="009314A3" w:rsidRDefault="009314A3" w:rsidP="009314A3">
            <w:pPr>
              <w:pStyle w:val="Rentekst"/>
            </w:pPr>
            <w:r>
              <w:t>finne antideriverte.</w:t>
            </w:r>
          </w:p>
          <w:p w:rsidR="009314A3" w:rsidRDefault="009314A3" w:rsidP="009314A3">
            <w:pPr>
              <w:pStyle w:val="Rentekst"/>
            </w:pPr>
            <w:r>
              <w:t>* kan nytte fundamentalteoremet i kalkulus.</w:t>
            </w:r>
          </w:p>
          <w:p w:rsidR="009314A3" w:rsidRDefault="009314A3" w:rsidP="009314A3">
            <w:pPr>
              <w:pStyle w:val="Rentekst"/>
            </w:pPr>
            <w:r>
              <w:t>* kan løyse enkle separable og lineære differensiallikningar av første</w:t>
            </w:r>
          </w:p>
          <w:p w:rsidR="009314A3" w:rsidRDefault="009314A3" w:rsidP="009314A3">
            <w:pPr>
              <w:pStyle w:val="Rentekst"/>
            </w:pPr>
            <w:r>
              <w:t>orden</w:t>
            </w:r>
          </w:p>
          <w:p w:rsidR="009314A3" w:rsidRDefault="009314A3" w:rsidP="009314A3">
            <w:pPr>
              <w:pStyle w:val="Rentekst"/>
            </w:pPr>
            <w:r>
              <w:t>* kan modellere enkle problem ved hjelp av differensiallikningar og</w:t>
            </w:r>
          </w:p>
          <w:p w:rsidR="009314A3" w:rsidRDefault="009314A3" w:rsidP="009314A3">
            <w:pPr>
              <w:pStyle w:val="Rentekst"/>
            </w:pPr>
            <w:r>
              <w:lastRenderedPageBreak/>
              <w:t>nytte implisitt derivasjon og funksjonsøfting for å løyse enkle anvende</w:t>
            </w:r>
          </w:p>
          <w:p w:rsidR="009314A3" w:rsidRDefault="009314A3" w:rsidP="009314A3">
            <w:pPr>
              <w:pStyle w:val="Rentekst"/>
            </w:pPr>
            <w:r>
              <w:t>problem.</w:t>
            </w:r>
          </w:p>
          <w:p w:rsidR="009314A3" w:rsidRPr="00102F43" w:rsidRDefault="009314A3" w:rsidP="009314A3">
            <w:pPr>
              <w:pStyle w:val="Rentekst"/>
            </w:pPr>
            <w:r w:rsidRPr="00102F43">
              <w:t>* kan nytte approksimasjonsmetodar for å finne tilnærma verdiar for</w:t>
            </w:r>
          </w:p>
          <w:p w:rsidR="009314A3" w:rsidRPr="00102F43" w:rsidRDefault="009314A3" w:rsidP="009314A3">
            <w:pPr>
              <w:pStyle w:val="Rentekst"/>
            </w:pPr>
            <w:r w:rsidRPr="00102F43">
              <w:t>røter av likningar og bestemde integral.</w:t>
            </w:r>
          </w:p>
          <w:p w:rsidR="00FA78D8" w:rsidRPr="00102F43" w:rsidRDefault="00FA78D8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A78D8" w:rsidRPr="00892FCB" w:rsidRDefault="00FA78D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9314A3" w:rsidRPr="005D7047" w:rsidRDefault="009314A3" w:rsidP="009314A3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* meistrar grunnleggjande teknikkar innanfor kalkulus og korleis nytte</w:t>
            </w:r>
          </w:p>
          <w:p w:rsidR="009314A3" w:rsidRPr="005D7047" w:rsidRDefault="009314A3" w:rsidP="009314A3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desse i</w:t>
            </w:r>
          </w:p>
          <w:p w:rsidR="009314A3" w:rsidRPr="005D7047" w:rsidRDefault="009314A3" w:rsidP="009314A3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både teoretiske og anvende problemstillingar.</w:t>
            </w:r>
          </w:p>
          <w:p w:rsidR="009314A3" w:rsidRPr="005D7047" w:rsidRDefault="009314A3" w:rsidP="009314A3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* kan argumentere matematisk og presentere enkle prov og resonnement.</w:t>
            </w:r>
          </w:p>
          <w:p w:rsidR="009314A3" w:rsidRPr="005D7047" w:rsidRDefault="009314A3" w:rsidP="009314A3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* kan kjenne att struktur og formulere enkle problem matematisk</w:t>
            </w:r>
          </w:p>
          <w:p w:rsidR="00FA78D8" w:rsidRDefault="00FA78D8" w:rsidP="009314A3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A78D8" w:rsidRDefault="00FA78D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A78D8" w:rsidRPr="00892FCB" w:rsidRDefault="00FA78D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A78D8" w:rsidRDefault="00FA78D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* kan arbeide sjølvstendig og i gruppe.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* kan formulere seg på ein presis og vitskapleg måte på enkelt nivå.</w:t>
            </w:r>
          </w:p>
          <w:p w:rsidR="00FA78D8" w:rsidRPr="009314A3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kan avgjere om enkle matematiske argument er korrekte.</w:t>
            </w:r>
            <w:r w:rsidR="00FA78D8" w:rsidRPr="009314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* </w:t>
            </w:r>
          </w:p>
          <w:p w:rsidR="00FA78D8" w:rsidRPr="00726B2E" w:rsidRDefault="00FA78D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26B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A78D8" w:rsidRPr="00892FCB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* is able to compute with and use complex numbers to find real and 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>complex solutions to simple equations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>* is able to prove statements using mathematical induction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* is able to state and apply the mathematical definitions of limits, 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>continuity and derivative, also in theoretical problems.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* is able to state and apply both the formal definition and other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techinques such as the limit theorems, squeeze theorem and l'Hôpital's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rule to compute limits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state and apply the Intermediate Value Theorem, the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Extremal Value Theorem and the Mean Value Theorem, also in theoretical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lastRenderedPageBreak/>
              <w:t>problems.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use rules to find derivatives and antiderivatives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study functions and sketch their graphs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apply Taylor's formula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use integration techniques such as substitution, partial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integration, as well as polynomial division, method of partial fractions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and completing the square, to find antiderivatives.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apply the Fundamental theorem of Calculus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solve simple separable and first order linear differential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equations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model simple problems with the help of differential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equations and use implicit differentiation and functions to solve simple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applied problems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use numerical methods to find approximative values for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roots of equations and definite integrals.</w:t>
            </w:r>
          </w:p>
          <w:p w:rsidR="009314A3" w:rsidRPr="009314A3" w:rsidRDefault="009314A3" w:rsidP="009314A3">
            <w:pPr>
              <w:pStyle w:val="Rentekst"/>
              <w:rPr>
                <w:lang w:val="en-US"/>
              </w:rPr>
            </w:pPr>
          </w:p>
          <w:p w:rsidR="009314A3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Skills: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The students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masters fundamental techniques within calculus and how to use these in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both theoretical and applied problems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argue mathematically and present simple proofs and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reasoning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recognize structure and formulate simple problems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mathematically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General competence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The student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work individually and in groups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formulate in a precise and scientific way on an elementary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level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decide whether simple mathematical arguments are correct</w:t>
            </w:r>
          </w:p>
          <w:p w:rsidR="009314A3" w:rsidRPr="005D7047" w:rsidRDefault="009314A3" w:rsidP="009314A3"/>
          <w:p w:rsidR="00FA78D8" w:rsidRDefault="00FA78D8" w:rsidP="009314A3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A78D8" w:rsidRPr="00892FCB" w:rsidRDefault="00FA78D8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A78D8" w:rsidRPr="009314A3" w:rsidRDefault="00FA78D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726B2E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 til forkunnskapar</w:t>
            </w:r>
          </w:p>
          <w:p w:rsidR="00FA78D8" w:rsidRPr="00726B2E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FA78D8" w:rsidRPr="00726B2E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B32BA6" w:rsidRDefault="00102F43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Ingen</w:t>
            </w:r>
          </w:p>
        </w:tc>
      </w:tr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996578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Tilrådde forkunnskapar         </w:t>
            </w:r>
          </w:p>
          <w:p w:rsidR="00FA78D8" w:rsidRPr="00996578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FA78D8" w:rsidRPr="00996578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A78D8" w:rsidRPr="00996578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996578" w:rsidRDefault="00102F43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R2</w:t>
            </w: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431AB6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FA78D8" w:rsidRPr="00431AB6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FA78D8" w:rsidRPr="00996578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Default="00102F43" w:rsidP="002D26F0">
            <w:pPr>
              <w:rPr>
                <w:rFonts w:ascii="myriad-pro" w:hAnsi="myriad-pro" w:cs="Aria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kobling"/>
                  <w:rFonts w:ascii="myriad-pro" w:hAnsi="myriad-pro" w:cs="Arial"/>
                </w:rPr>
                <w:t>MAT101</w:t>
              </w:r>
            </w:hyperlink>
            <w:r>
              <w:rPr>
                <w:rFonts w:ascii="myriad-pro" w:hAnsi="myriad-pro" w:cs="Arial"/>
              </w:rPr>
              <w:t xml:space="preserve">: 5sp, </w:t>
            </w:r>
            <w:hyperlink r:id="rId9" w:history="1">
              <w:r>
                <w:rPr>
                  <w:rStyle w:val="Hyperkobling"/>
                  <w:rFonts w:ascii="myriad-pro" w:hAnsi="myriad-pro" w:cs="Arial"/>
                </w:rPr>
                <w:t>ECON140</w:t>
              </w:r>
            </w:hyperlink>
            <w:r>
              <w:rPr>
                <w:rFonts w:ascii="myriad-pro" w:hAnsi="myriad-pro" w:cs="Arial"/>
              </w:rPr>
              <w:t>: 5sp</w:t>
            </w:r>
          </w:p>
          <w:p w:rsidR="00102F43" w:rsidRPr="00996578" w:rsidRDefault="00102F4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726B2E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 til Studierett</w:t>
            </w:r>
          </w:p>
          <w:p w:rsidR="00FA78D8" w:rsidRPr="00726B2E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FA78D8" w:rsidRPr="00726B2E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FA78D8" w:rsidRPr="00726B2E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8562F9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hyperlink r:id="rId10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A78D8" w:rsidRPr="008562F9" w:rsidRDefault="00FA78D8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FA78D8" w:rsidRPr="00102F43" w:rsidRDefault="00FA78D8" w:rsidP="00102F43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A78D8" w:rsidRPr="008562F9" w:rsidRDefault="00FA78D8" w:rsidP="002D26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A78D8" w:rsidRPr="00FA78D8" w:rsidTr="00FA78D8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041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E041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lastRenderedPageBreak/>
              <w:t>Teaching Methods and Extent of Organized Teaching</w:t>
            </w:r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F43" w:rsidRPr="00896155" w:rsidRDefault="00102F43" w:rsidP="00102F43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lastRenderedPageBreak/>
              <w:t>Undervisninga gis i form av førelesningar,.seminar, rekneøvingar og orakeltilbod</w:t>
            </w:r>
          </w:p>
          <w:p w:rsidR="00102F43" w:rsidRPr="00896155" w:rsidRDefault="00102F43" w:rsidP="00102F43">
            <w:pPr>
              <w:rPr>
                <w:lang w:val="nb-NO"/>
              </w:rPr>
            </w:pPr>
            <w:r w:rsidRPr="00896155">
              <w:rPr>
                <w:rFonts w:cstheme="minorHAnsi"/>
                <w:lang w:val="nb-NO"/>
              </w:rPr>
              <w:t>Førelesningar / 4 timer pr. veke</w:t>
            </w:r>
          </w:p>
          <w:p w:rsidR="00102F43" w:rsidRPr="00896155" w:rsidRDefault="00102F43" w:rsidP="00102F43">
            <w:pPr>
              <w:rPr>
                <w:lang w:val="nb-NO"/>
              </w:rPr>
            </w:pPr>
            <w:r w:rsidRPr="00896155">
              <w:rPr>
                <w:rFonts w:cstheme="minorHAnsi"/>
                <w:lang w:val="nb-NO"/>
              </w:rPr>
              <w:t>Seminar / 1-2 timer pr. veke</w:t>
            </w:r>
          </w:p>
          <w:p w:rsidR="00102F43" w:rsidRPr="00896155" w:rsidRDefault="00102F43" w:rsidP="00102F43">
            <w:pPr>
              <w:rPr>
                <w:lang w:val="nb-NO"/>
              </w:rPr>
            </w:pPr>
            <w:r w:rsidRPr="00896155">
              <w:rPr>
                <w:rFonts w:cstheme="minorHAnsi"/>
                <w:lang w:val="nb-NO"/>
              </w:rPr>
              <w:t>Rekneøvingar / 2 timer pr. veke</w:t>
            </w:r>
          </w:p>
          <w:p w:rsidR="00102F43" w:rsidRPr="00896155" w:rsidRDefault="00102F43" w:rsidP="00102F43">
            <w:pPr>
              <w:rPr>
                <w:lang w:val="nb-NO"/>
              </w:rPr>
            </w:pPr>
            <w:r w:rsidRPr="00896155">
              <w:rPr>
                <w:rFonts w:cstheme="minorHAnsi"/>
                <w:lang w:val="nb-NO"/>
              </w:rPr>
              <w:t>Orakel / 2 timer pr. veke</w:t>
            </w:r>
          </w:p>
          <w:p w:rsidR="00102F43" w:rsidRDefault="00102F43" w:rsidP="00102F43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:rsidR="00102F43" w:rsidRDefault="00102F43" w:rsidP="00102F43">
            <w:pPr>
              <w:rPr>
                <w:i/>
                <w:iCs/>
                <w:color w:val="000080"/>
              </w:rPr>
            </w:pPr>
            <w:r w:rsidRPr="00896155">
              <w:rPr>
                <w:rFonts w:cstheme="minorHAnsi"/>
                <w:i/>
                <w:iCs/>
                <w:color w:val="000080"/>
                <w:sz w:val="20"/>
                <w:szCs w:val="20"/>
              </w:rPr>
              <w:lastRenderedPageBreak/>
              <w:t>Teaching in the form of lectures, seminars, exercises and orakel</w:t>
            </w:r>
          </w:p>
          <w:p w:rsidR="00102F43" w:rsidRDefault="00102F43" w:rsidP="00102F43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Lectures / 4 hours pr. week</w:t>
            </w:r>
          </w:p>
          <w:p w:rsidR="00102F43" w:rsidRDefault="00102F43" w:rsidP="00102F43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Seminars / 1-2 hours pr. week</w:t>
            </w:r>
          </w:p>
          <w:p w:rsidR="00102F43" w:rsidRDefault="00102F43" w:rsidP="00102F43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Exercises / 2 hours pr. week</w:t>
            </w:r>
          </w:p>
          <w:p w:rsidR="00102F43" w:rsidRDefault="00102F43" w:rsidP="00102F43">
            <w:r w:rsidRPr="00896155">
              <w:rPr>
                <w:rFonts w:cstheme="minorHAnsi"/>
                <w:color w:val="000080"/>
                <w:sz w:val="20"/>
                <w:szCs w:val="20"/>
              </w:rPr>
              <w:t xml:space="preserve">Oracle / 2 hours pr. </w:t>
            </w:r>
            <w:r>
              <w:rPr>
                <w:rFonts w:cstheme="minorHAnsi"/>
                <w:color w:val="000080"/>
                <w:sz w:val="20"/>
                <w:szCs w:val="20"/>
                <w:lang w:val="nb-NO"/>
              </w:rPr>
              <w:t>Week</w:t>
            </w:r>
          </w:p>
          <w:p w:rsidR="00FA78D8" w:rsidRPr="00E33BA5" w:rsidRDefault="00FA78D8" w:rsidP="00D90BE4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FA78D8" w:rsidRPr="00FA78D8" w:rsidTr="00FA78D8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A78D8" w:rsidRPr="00102F43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43" w:rsidRDefault="00102F43" w:rsidP="00102F43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Godkjende obligatoriske oppgåver (Gyldige i to semest</w:t>
            </w:r>
            <w:r w:rsidR="00E041AD">
              <w:rPr>
                <w:rFonts w:cstheme="minorHAnsi"/>
                <w:i/>
                <w:sz w:val="20"/>
                <w:szCs w:val="20"/>
                <w:lang w:val="nn-NO"/>
              </w:rPr>
              <w:t>er: inneverande semester + semesteret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etter).</w:t>
            </w:r>
          </w:p>
          <w:p w:rsidR="00102F43" w:rsidRDefault="00102F43" w:rsidP="00102F43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02F43" w:rsidRPr="00896155" w:rsidRDefault="00102F43" w:rsidP="00102F43">
            <w:pPr>
              <w:rPr>
                <w:rFonts w:asciiTheme="minorHAnsi" w:hAnsiTheme="minorHAnsi" w:cstheme="minorHAnsi"/>
                <w:i/>
                <w:color w:val="000080"/>
                <w:sz w:val="20"/>
                <w:szCs w:val="20"/>
              </w:rPr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 xml:space="preserve">Compulsory assignments need to be passed. (Valid in two semesters:  the semester of </w:t>
            </w:r>
            <w:r w:rsidR="00E041AD">
              <w:rPr>
                <w:rFonts w:cstheme="minorHAnsi"/>
                <w:i/>
                <w:color w:val="000080"/>
                <w:sz w:val="20"/>
                <w:szCs w:val="20"/>
              </w:rPr>
              <w:t>the class + the following semester</w:t>
            </w:r>
            <w:bookmarkStart w:id="0" w:name="_GoBack"/>
            <w:bookmarkEnd w:id="0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)</w:t>
            </w:r>
          </w:p>
          <w:p w:rsidR="00FA78D8" w:rsidRPr="00102F43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A78D8" w:rsidRPr="00E041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43" w:rsidRPr="00896155" w:rsidRDefault="00102F43" w:rsidP="00102F43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Skriftleg eksamen: 5 timar.</w:t>
            </w:r>
          </w:p>
          <w:p w:rsidR="00102F43" w:rsidRDefault="00102F43" w:rsidP="00102F43">
            <w:pPr>
              <w:pStyle w:val="Listeavsnitt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102F43" w:rsidRDefault="00102F43" w:rsidP="00102F43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02F43" w:rsidRPr="00896155" w:rsidRDefault="00102F43" w:rsidP="00102F43">
            <w:pPr>
              <w:rPr>
                <w:color w:val="000080"/>
                <w:lang w:val="nn-NO"/>
              </w:rPr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Written examination: 5 hours</w:t>
            </w:r>
          </w:p>
          <w:p w:rsidR="00FA78D8" w:rsidRPr="00102F43" w:rsidRDefault="00FA78D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</w:p>
        </w:tc>
      </w:tr>
      <w:tr w:rsidR="00FA78D8" w:rsidRPr="00E041AD" w:rsidTr="00FA78D8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43" w:rsidRDefault="00102F43" w:rsidP="00102F43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Tillatne hjelpemiddel: Lærebok og Enkel kalkulator i samsvar med modell oppført i fakultetet sine  reglar.</w:t>
            </w:r>
          </w:p>
          <w:p w:rsidR="00102F43" w:rsidRDefault="00102F43" w:rsidP="00102F43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</w:p>
          <w:p w:rsidR="00102F43" w:rsidRDefault="00102F43" w:rsidP="00102F43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</w:p>
          <w:p w:rsidR="00102F43" w:rsidRDefault="00102F43" w:rsidP="00102F43">
            <w:pPr>
              <w:widowControl/>
              <w:spacing w:after="0"/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Examination support materials: Textbook and Non- programmable calculator, according to model listed in faculty regulations.</w:t>
            </w:r>
          </w:p>
          <w:p w:rsidR="00FA78D8" w:rsidRPr="00102F43" w:rsidRDefault="00FA78D8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Karakterskala 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Default="00FA78D8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A78D8" w:rsidRPr="00E041AD" w:rsidRDefault="00FA78D8" w:rsidP="00102F4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A78D8" w:rsidRPr="00431AB6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Default="00FA78D8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. </w:t>
            </w:r>
          </w:p>
          <w:p w:rsidR="00FA78D8" w:rsidRPr="0047488C" w:rsidRDefault="00FA78D8" w:rsidP="00102F4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pring semester and autumn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E33BA5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A78D8" w:rsidRPr="00E33BA5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A78D8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A78D8" w:rsidRPr="00431AB6" w:rsidRDefault="00FA78D8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FA78D8" w:rsidRPr="00431AB6" w:rsidRDefault="00FA78D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8D8" w:rsidRPr="00E33BA5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A78D8" w:rsidRPr="00A76CAD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A78D8" w:rsidRPr="00A76CAD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622176" w:rsidRDefault="00FA78D8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FA78D8" w:rsidRPr="00622176" w:rsidRDefault="00FA78D8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:rsidR="00FA78D8" w:rsidRPr="00622176" w:rsidRDefault="00FA78D8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FA78D8" w:rsidRPr="00622176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A78D8" w:rsidRPr="00581010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581010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A78D8" w:rsidRPr="00622176" w:rsidRDefault="00FA78D8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FA78D8" w:rsidRPr="00622176" w:rsidRDefault="00FA78D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A78D8" w:rsidRPr="00581010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581010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1" w:history="1">
              <w:r w:rsidR="00102F43" w:rsidRPr="005C65A7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Studierettleiar@math.uib.no</w:t>
              </w:r>
            </w:hyperlink>
          </w:p>
          <w:p w:rsidR="00FA78D8" w:rsidRPr="00581010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A78D8" w:rsidRPr="00581010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A78D8" w:rsidRPr="00581010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FA78D8" w:rsidRPr="00E041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A78D8" w:rsidRPr="00581010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581010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FA78D8" w:rsidRPr="00581010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102F4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28 34</w:t>
            </w:r>
            <w:hyperlink r:id="rId12" w:history="1">
              <w:r w:rsidR="00102F43" w:rsidRPr="005C65A7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Studierettleiar@math.uib.no</w:t>
              </w:r>
            </w:hyperlink>
          </w:p>
          <w:p w:rsidR="00FA78D8" w:rsidRPr="00581010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 55 58 xx xx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3"/>
      <w:footerReference w:type="default" r:id="rId14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pr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2F43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B6AB2"/>
    <w:rsid w:val="006C4FB8"/>
    <w:rsid w:val="006F3F5A"/>
    <w:rsid w:val="006F5BF6"/>
    <w:rsid w:val="007010D3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314A3"/>
    <w:rsid w:val="00940211"/>
    <w:rsid w:val="009545F9"/>
    <w:rsid w:val="0096572E"/>
    <w:rsid w:val="0097097A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F1C0B"/>
    <w:rsid w:val="00E041AD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812E8"/>
    <w:rsid w:val="00FA78D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E0F7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FA78D8"/>
    <w:pPr>
      <w:widowControl/>
      <w:spacing w:after="0" w:line="240" w:lineRule="auto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FA78D8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nb/emne/MAT1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ierettleiar@math.uib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math.uib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b.no/matnat/52646/opptak-ved-mn-fakulte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nb/emne/ECON1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B7C1-02AC-4EE9-928E-D0EF01D0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240A0805.dotm</Template>
  <TotalTime>8</TotalTime>
  <Pages>10</Pages>
  <Words>1765</Words>
  <Characters>9356</Characters>
  <Application>Microsoft Office Word</Application>
  <DocSecurity>0</DocSecurity>
  <Lines>77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4</cp:revision>
  <cp:lastPrinted>2014-11-06T13:45:00Z</cp:lastPrinted>
  <dcterms:created xsi:type="dcterms:W3CDTF">2017-02-10T08:23:00Z</dcterms:created>
  <dcterms:modified xsi:type="dcterms:W3CDTF">2017-04-20T06:10:00Z</dcterms:modified>
</cp:coreProperties>
</file>